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LISTA KONTROLNA</w:t>
      </w:r>
    </w:p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PO</w:t>
      </w:r>
      <w:r>
        <w:rPr>
          <w:rFonts w:asciiTheme="minorHAnsi" w:hAnsiTheme="minorHAnsi" w:cstheme="minorHAnsi"/>
          <w:b/>
        </w:rPr>
        <w:t>D</w:t>
      </w:r>
      <w:r w:rsidRPr="00121883">
        <w:rPr>
          <w:rFonts w:asciiTheme="minorHAnsi" w:hAnsiTheme="minorHAnsi" w:cstheme="minorHAnsi"/>
          <w:b/>
        </w:rPr>
        <w:t>STAWOWYCH ZAŁĄCZNIKÓW DO WNIOSKU O POŻYCZKĘ UNIWERSALNĄ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295"/>
        <w:gridCol w:w="891"/>
        <w:gridCol w:w="799"/>
        <w:gridCol w:w="899"/>
      </w:tblGrid>
      <w:tr w:rsidR="007F4F64" w:rsidRPr="007F4F64" w:rsidTr="006C473A">
        <w:trPr>
          <w:trHeight w:val="659"/>
          <w:jc w:val="center"/>
        </w:trPr>
        <w:tc>
          <w:tcPr>
            <w:tcW w:w="42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95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9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99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Wniosek o udzielenie pożyczki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E64A8B" w:rsidRDefault="00850099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Załącznik nr 1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o spełnianiu kryteriów </w:t>
            </w:r>
            <w:proofErr w:type="spellStart"/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>MŚP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Załącznik nr 2 </w:t>
            </w:r>
            <w:r w:rsidRPr="005C29C9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o spełnianiu </w:t>
            </w: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kryteriów dla wnioskodawców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3 Oświadczenie o nienakładaniu się finansowania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4 Upoważnienie Przedsiębiorcy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5 Upoważnienie Konsument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(dot. Wnioskodawcy, małżonka, poręczycieli)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6</w:t>
            </w:r>
            <w:r w:rsidR="00850099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4C3AB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r w:rsidR="004C3AB0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achunek zysków i strat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4C3AB0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95" w:type="dxa"/>
            <w:vAlign w:val="center"/>
          </w:tcPr>
          <w:p w:rsidR="004C3AB0" w:rsidRPr="00E64A8B" w:rsidRDefault="004C3AB0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7 </w:t>
            </w: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Uproszczony bilans</w:t>
            </w:r>
          </w:p>
        </w:tc>
        <w:tc>
          <w:tcPr>
            <w:tcW w:w="89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95" w:type="dxa"/>
            <w:vAlign w:val="center"/>
          </w:tcPr>
          <w:p w:rsidR="007F4F64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8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w sprawie danych z dowodu osobistego</w:t>
            </w:r>
          </w:p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(dot. Wnioskodawcy, małżonka, poręczycieli)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9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</w:t>
            </w:r>
            <w:proofErr w:type="spellStart"/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AML</w:t>
            </w:r>
            <w:proofErr w:type="spellEnd"/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10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Klauzula informacyjna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Formularz informacji przedstawianych przy ubieganiu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sie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pomoc inna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niz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Formularz informacji przedstawianych przy ubieganiu się o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Oświadczenie majątkowe (dot. małżonka oraz poręczycieli)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Jeśli poręczyciel to osobą zatrudnioną na podstawie umowy o pracę - zaświadczenie o zatrudnieniu (dochód za okres ostatnich trzech miesięcy - netto)</w:t>
            </w:r>
            <w:r w:rsidRPr="007F4F64"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Jeśli poręczyciel jest przedsiębiorcą – </w:t>
            </w:r>
            <w:proofErr w:type="spellStart"/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kpi</w:t>
            </w:r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rzis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i bilans (za rok 2023, 2022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 wraz z deklaracjami podatkowymi oraz informację o zobowiązaniach podmiotu, zaświadczenie o niezaleganiu wobec Urzędu Skarbowego oraz zaświadczenie o niezaleganiu wobec Zakładu Ubezpieczeń Społecznych wystawione najpóźniej 30 dni przed dniem złożenia wniosku.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Dokument poświadczający ustalenie rozdzielności majątkowej małżeńskiej tj. 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postanowienie sądu lub akt notarialny będący podstawą rozdzielności majątkowej małżeńskiej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2350E9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Zaświadczenia z banków o posiadanych rachunkach oraz zaciągniętych zobowiązaniach (w tym: rodzaj zobowiązania, kwota pozostająca do spłaty, wartość miesięcznego obciążenia, ostateczny termin spłaty,  zastosowane zabezpieczenia,  terminowość spłaty dotychczas udzielanych kredytów, obciążenie rachunków tytułami egzekucyjnymi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; wystawione nie później niż 30 dni od daty złożenia wniosku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Wycena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zakupie nieruchomości do celów prowadzenia działalności gospodarczej lub gdy nieruchomość stano</w:t>
            </w:r>
            <w:bookmarkStart w:id="0" w:name="_GoBack"/>
            <w:bookmarkEnd w:id="0"/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wić będzie zabezpieczenie pożyczki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; </w:t>
            </w:r>
            <w:r w:rsidR="002350E9" w:rsidRP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operat szacunkowy nie starszy niż 12 miesięcy lub inny dokument, na którego podstawie możliwe będzie oszacowanie wartości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Pozwolenie na budowę/zgłoszenie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wydane przez uprawniony do tego organ państwowy </w:t>
            </w:r>
          </w:p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Kosztorys budowlany, harmonogram inwestycji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666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ORGANIZACYJNO- PRAWNĄ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Przedsiębiorca indywidualny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 (wydruk)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cywilna/ spółka jawna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(każdy ze wszystkich wspólników) (wydruk) / odpis z KRS (wydruk), nie starsze niż 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Umowa spółki cywilnej, zarejestrowana w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oraz aktualne aneksy do umowy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/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Osoba fizyczna wykonująca wolny zawód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o nadaniu numeru REGON i NIP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Dokument potwierdzający prawo wykonywania wolnego zawodu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z o.o.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Umowa spółki w formie aktu notarialnego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rPr>
                <w:rFonts w:eastAsia="Times New Roman" w:cs="Calibri"/>
                <w:i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wspólników o wyrażeniu zgody na zaciągnięcie pożyczki, chyba że umowa/statut spółki stanowi inaczej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akcyjna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Statut spółki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właściwego organu o wyrażeniu zgody na zaciągnięcie pożyczki, chyba że umowa/statut spółki stanowi inaczej (do wglądu ) + kserokopia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 w:type="page"/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OPODATKOWANIA ORAZ PROWADZONĄ EWIDENCJĄ KSIĘGOWĄ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Pełna księgowość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Bilans oraz rachunek zysków i strat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Informacje dodatkowe</w:t>
            </w:r>
            <w:r w:rsidRPr="007F4F64">
              <w:rPr>
                <w:rFonts w:eastAsia="Times New Roman" w:cs="Calibri"/>
                <w:i/>
                <w:sz w:val="18"/>
                <w:szCs w:val="18"/>
                <w:lang w:eastAsia="pl-PL"/>
              </w:rPr>
              <w:t xml:space="preserve">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 działalności jednostki dołączone do rocznych sprawozdań finansowych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Raport i opinia z badania sprawozdań finansowych (do wglądu oryginał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PIT/</w:t>
            </w:r>
            <w:proofErr w:type="spellStart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CIT</w:t>
            </w:r>
            <w:proofErr w:type="spellEnd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– rozliczenie roczne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 potwierdzone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oryginał) + kserokopia oraz zaświadczenie 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nie zaleganiu.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oryginał)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Książka przychodów i rozchodów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Rozliczenie podatkowe roczne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 + bieżący rok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wglądu)+ kserokopia (w przypadku spółek – każdy ze wspólników oddzielnie)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Podsumowanie księgi przychodów i rozchodów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Ryczałt ewidencjonowany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Informacja roczna o wysokości uzyskanego przychodu i wysokości dokonanych odliczeń dla podmiotów objętych zryczałtowanym podatkiem dochodowym od osób fizycznych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(PIT-36)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Dowody wpłat podatku zryczałtowanego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 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Ewidencja zakupu i ewidencja sprzedaży – płatnicy VAT, pozostali ewidencja sprzedaży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lastRenderedPageBreak/>
              <w:t>Karta podatkowa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Decyzja, wydana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ustalająca na dany rok podatkowy wysokość podatku dochodowego w formie karty podatkowej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Dowody wpłat podatku (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INNE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Umowy z dostawcami i odbiorcami, certyfikaty, nagrody, itp. (do wglądu) + kserokopie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Koncesje, zezwolenie, licencje, atesty , certyfikaty, pozwolenia (do wglądu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Tytuł prawny do nieruchomości, których adresy podlegają wpisowi do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CEIDG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do KRS (Dokumentem potwierdzającym posiadanie takiego tytułu może być umowa sprzedaży w formie aktu notarialnego, wypis z księgi wieczystej, akt własności czy też umowa w formie pisemnej: dzierżawy, najmu lub użyczenia.)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:rsidR="00160E83" w:rsidRPr="007F4F64" w:rsidRDefault="00160E83" w:rsidP="007F4F64"/>
    <w:sectPr w:rsidR="00160E83" w:rsidRPr="007F4F64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64" w:rsidRDefault="00200D64" w:rsidP="007C7D54">
      <w:r>
        <w:separator/>
      </w:r>
    </w:p>
  </w:endnote>
  <w:endnote w:type="continuationSeparator" w:id="0">
    <w:p w:rsidR="00200D64" w:rsidRDefault="00200D64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64" w:rsidRDefault="00200D64" w:rsidP="007C7D54">
      <w:r>
        <w:separator/>
      </w:r>
    </w:p>
  </w:footnote>
  <w:footnote w:type="continuationSeparator" w:id="0">
    <w:p w:rsidR="00200D64" w:rsidRDefault="00200D64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200D64"/>
    <w:rsid w:val="00206C82"/>
    <w:rsid w:val="002350E9"/>
    <w:rsid w:val="00297CBA"/>
    <w:rsid w:val="002F35F5"/>
    <w:rsid w:val="003245F3"/>
    <w:rsid w:val="00343B8D"/>
    <w:rsid w:val="003731ED"/>
    <w:rsid w:val="003E021E"/>
    <w:rsid w:val="003F1AC6"/>
    <w:rsid w:val="00412107"/>
    <w:rsid w:val="00463A43"/>
    <w:rsid w:val="00494343"/>
    <w:rsid w:val="004966DF"/>
    <w:rsid w:val="004C3AB0"/>
    <w:rsid w:val="004D15AD"/>
    <w:rsid w:val="00502C77"/>
    <w:rsid w:val="005A330C"/>
    <w:rsid w:val="005C29C9"/>
    <w:rsid w:val="00646422"/>
    <w:rsid w:val="00657D1F"/>
    <w:rsid w:val="00697006"/>
    <w:rsid w:val="006F23FA"/>
    <w:rsid w:val="0071023A"/>
    <w:rsid w:val="007159E3"/>
    <w:rsid w:val="007469C8"/>
    <w:rsid w:val="00786903"/>
    <w:rsid w:val="007C7D54"/>
    <w:rsid w:val="007F4F64"/>
    <w:rsid w:val="00850099"/>
    <w:rsid w:val="00895774"/>
    <w:rsid w:val="008E520E"/>
    <w:rsid w:val="00966FE5"/>
    <w:rsid w:val="00AC100A"/>
    <w:rsid w:val="00AE0866"/>
    <w:rsid w:val="00AE1866"/>
    <w:rsid w:val="00AE6A66"/>
    <w:rsid w:val="00B1028B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8180B"/>
    <w:rsid w:val="00DE4A53"/>
    <w:rsid w:val="00DE769B"/>
    <w:rsid w:val="00E27159"/>
    <w:rsid w:val="00E42DDA"/>
    <w:rsid w:val="00E64A8B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5F69-7D4F-4F03-9AD8-A3765D0B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dcterms:created xsi:type="dcterms:W3CDTF">2024-10-30T12:34:00Z</dcterms:created>
  <dcterms:modified xsi:type="dcterms:W3CDTF">2024-11-05T13:42:00Z</dcterms:modified>
</cp:coreProperties>
</file>